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9EE" w:rsidRDefault="003749EE" w:rsidP="00D44736">
      <w:pPr>
        <w:spacing w:after="240" w:line="480" w:lineRule="auto"/>
        <w:ind w:firstLine="720"/>
        <w:rPr>
          <w:b/>
          <w:bCs/>
        </w:rPr>
      </w:pPr>
    </w:p>
    <w:p w:rsidR="003749EE" w:rsidRDefault="003749EE" w:rsidP="00D44736">
      <w:pPr>
        <w:spacing w:after="240" w:line="480" w:lineRule="auto"/>
        <w:ind w:firstLine="720"/>
        <w:rPr>
          <w:b/>
          <w:bCs/>
        </w:rPr>
      </w:pPr>
    </w:p>
    <w:p w:rsidR="003749EE" w:rsidRDefault="003749EE" w:rsidP="00D44736">
      <w:pPr>
        <w:spacing w:after="240" w:line="480" w:lineRule="auto"/>
        <w:ind w:firstLine="720"/>
        <w:rPr>
          <w:b/>
          <w:bCs/>
        </w:rPr>
      </w:pPr>
    </w:p>
    <w:p w:rsidR="003749EE" w:rsidRDefault="003749EE" w:rsidP="00D44736">
      <w:pPr>
        <w:spacing w:after="240" w:line="480" w:lineRule="auto"/>
        <w:ind w:firstLine="720"/>
        <w:rPr>
          <w:b/>
          <w:bCs/>
        </w:rPr>
      </w:pPr>
    </w:p>
    <w:p w:rsidR="003749EE" w:rsidRDefault="003749EE" w:rsidP="003749EE">
      <w:pPr>
        <w:spacing w:after="240" w:line="480" w:lineRule="auto"/>
        <w:ind w:firstLine="720"/>
        <w:rPr>
          <w:b/>
          <w:bCs/>
        </w:rPr>
      </w:pPr>
      <w:r>
        <w:rPr>
          <w:b/>
          <w:bCs/>
        </w:rPr>
        <w:t xml:space="preserve">                         Population Health Assessment and Surveillance </w:t>
      </w:r>
    </w:p>
    <w:p w:rsidR="003749EE" w:rsidRDefault="003749EE" w:rsidP="003749EE">
      <w:pPr>
        <w:tabs>
          <w:tab w:val="left" w:pos="3420"/>
          <w:tab w:val="center" w:pos="4680"/>
        </w:tabs>
        <w:spacing w:line="480" w:lineRule="auto"/>
      </w:pPr>
      <w:r>
        <w:t xml:space="preserve">                                                                Student’s Name</w:t>
      </w:r>
    </w:p>
    <w:p w:rsidR="003749EE" w:rsidRDefault="003749EE" w:rsidP="003749EE">
      <w:pPr>
        <w:spacing w:line="480" w:lineRule="auto"/>
        <w:jc w:val="center"/>
      </w:pPr>
      <w:r>
        <w:t>Institutional Affiliation</w:t>
      </w:r>
    </w:p>
    <w:p w:rsidR="003749EE" w:rsidRDefault="003749EE" w:rsidP="003749EE">
      <w:pPr>
        <w:spacing w:line="480" w:lineRule="auto"/>
        <w:jc w:val="center"/>
      </w:pPr>
      <w:r>
        <w:t>Course Code and Number</w:t>
      </w:r>
    </w:p>
    <w:p w:rsidR="003749EE" w:rsidRDefault="003749EE" w:rsidP="003749EE">
      <w:pPr>
        <w:spacing w:line="480" w:lineRule="auto"/>
        <w:jc w:val="center"/>
      </w:pPr>
      <w:r>
        <w:t>Instructor’s Name</w:t>
      </w:r>
    </w:p>
    <w:p w:rsidR="003749EE" w:rsidRDefault="003749EE" w:rsidP="003749EE">
      <w:pPr>
        <w:spacing w:line="480" w:lineRule="auto"/>
        <w:jc w:val="center"/>
      </w:pPr>
      <w:r>
        <w:t>Date</w:t>
      </w:r>
    </w:p>
    <w:p w:rsidR="003749EE" w:rsidRDefault="003749EE" w:rsidP="00D44736">
      <w:pPr>
        <w:spacing w:after="240" w:line="480" w:lineRule="auto"/>
        <w:ind w:firstLine="720"/>
        <w:rPr>
          <w:b/>
          <w:bCs/>
        </w:rPr>
      </w:pPr>
    </w:p>
    <w:p w:rsidR="003749EE" w:rsidRDefault="003749EE" w:rsidP="00D44736">
      <w:pPr>
        <w:spacing w:after="240" w:line="480" w:lineRule="auto"/>
        <w:ind w:firstLine="720"/>
        <w:rPr>
          <w:b/>
          <w:bCs/>
        </w:rPr>
      </w:pPr>
    </w:p>
    <w:p w:rsidR="003749EE" w:rsidRDefault="003749EE" w:rsidP="00D44736">
      <w:pPr>
        <w:spacing w:after="240" w:line="480" w:lineRule="auto"/>
        <w:ind w:firstLine="720"/>
        <w:rPr>
          <w:b/>
          <w:bCs/>
        </w:rPr>
      </w:pPr>
    </w:p>
    <w:p w:rsidR="003749EE" w:rsidRDefault="003749EE" w:rsidP="00D44736">
      <w:pPr>
        <w:spacing w:after="240" w:line="480" w:lineRule="auto"/>
        <w:ind w:firstLine="720"/>
        <w:rPr>
          <w:b/>
          <w:bCs/>
        </w:rPr>
      </w:pPr>
    </w:p>
    <w:p w:rsidR="003749EE" w:rsidRDefault="003749EE" w:rsidP="00D44736">
      <w:pPr>
        <w:spacing w:after="240" w:line="480" w:lineRule="auto"/>
        <w:ind w:firstLine="720"/>
        <w:rPr>
          <w:b/>
          <w:bCs/>
        </w:rPr>
      </w:pPr>
    </w:p>
    <w:p w:rsidR="003749EE" w:rsidRDefault="003749EE" w:rsidP="00D44736">
      <w:pPr>
        <w:spacing w:after="240" w:line="480" w:lineRule="auto"/>
        <w:ind w:firstLine="720"/>
        <w:rPr>
          <w:b/>
          <w:bCs/>
        </w:rPr>
      </w:pPr>
    </w:p>
    <w:p w:rsidR="003749EE" w:rsidRDefault="003749EE" w:rsidP="003749EE">
      <w:pPr>
        <w:spacing w:after="240" w:line="480" w:lineRule="auto"/>
        <w:rPr>
          <w:b/>
          <w:bCs/>
        </w:rPr>
      </w:pPr>
    </w:p>
    <w:p w:rsidR="003749EE" w:rsidRDefault="003749EE" w:rsidP="003749EE">
      <w:pPr>
        <w:spacing w:after="240" w:line="480" w:lineRule="auto"/>
        <w:rPr>
          <w:b/>
          <w:bCs/>
        </w:rPr>
      </w:pPr>
    </w:p>
    <w:p w:rsidR="003749EE" w:rsidRDefault="003749EE" w:rsidP="003749EE">
      <w:pPr>
        <w:spacing w:after="240" w:line="480" w:lineRule="auto"/>
        <w:ind w:firstLine="720"/>
        <w:rPr>
          <w:b/>
          <w:bCs/>
        </w:rPr>
      </w:pPr>
      <w:r>
        <w:rPr>
          <w:b/>
          <w:bCs/>
        </w:rPr>
        <w:lastRenderedPageBreak/>
        <w:t xml:space="preserve">                         Population Health Assessment and Surveillance </w:t>
      </w:r>
    </w:p>
    <w:p w:rsidR="005C0667" w:rsidRDefault="001C1DBA" w:rsidP="005A20A2">
      <w:pPr>
        <w:spacing w:after="240" w:line="480" w:lineRule="auto"/>
      </w:pPr>
      <w:r>
        <w:rPr>
          <w:b/>
          <w:bCs/>
        </w:rPr>
        <w:t>What is the government policy or activity you have selected? How long has it been in effect?</w:t>
      </w:r>
    </w:p>
    <w:p w:rsidR="005C0667" w:rsidRDefault="005A20A2" w:rsidP="00D44736">
      <w:pPr>
        <w:spacing w:before="240" w:after="240" w:line="480" w:lineRule="auto"/>
        <w:ind w:firstLine="720"/>
      </w:pPr>
      <w:r>
        <w:t>The selected policy is the p</w:t>
      </w:r>
      <w:r w:rsidR="001C1DBA">
        <w:t>opulation health assessment and surveillance policy. Measurement, monitoring, analysis, and interpretation of population health data</w:t>
      </w:r>
      <w:r>
        <w:t xml:space="preserve"> are some of the components in the policy. It is also involved in the </w:t>
      </w:r>
      <w:r w:rsidR="001C1DBA">
        <w:t>health status of populations and subpopulations, including socioeconomic determinants of health and health dispari</w:t>
      </w:r>
      <w:r>
        <w:t>ties.</w:t>
      </w:r>
      <w:r w:rsidR="003749EE">
        <w:t xml:space="preserve"> On the other hand,</w:t>
      </w:r>
      <w:r w:rsidR="001C1DBA">
        <w:t xml:space="preserve"> systematic gathering, analysis, and interpretation of health-related data required for the planning, implementing, and assessing public health practice are referred </w:t>
      </w:r>
      <w:r w:rsidR="004F35BA">
        <w:t>to as surveillance. Data access, management,</w:t>
      </w:r>
      <w:r w:rsidR="001C1DBA">
        <w:t xml:space="preserve"> collection, and </w:t>
      </w:r>
      <w:r w:rsidR="004F35BA">
        <w:t>analysis and interpretation,</w:t>
      </w:r>
      <w:r w:rsidR="001C1DBA">
        <w:t xml:space="preserve"> reporting and knowledge exchange are part of the population health assessment and surveillance process. The process and the behaviors that result from it can occur at any time. </w:t>
      </w:r>
      <w:r w:rsidR="004F35BA">
        <w:t>Governments</w:t>
      </w:r>
      <w:r w:rsidR="001C1DBA">
        <w:t xml:space="preserve"> provides the policy in various countries and is </w:t>
      </w:r>
      <w:r w:rsidR="004F35BA">
        <w:t>employed</w:t>
      </w:r>
      <w:r w:rsidR="001C1DBA">
        <w:t xml:space="preserve"> and </w:t>
      </w:r>
      <w:r w:rsidR="004F35BA">
        <w:t>imposed</w:t>
      </w:r>
      <w:r w:rsidR="001C1DBA">
        <w:t xml:space="preserve"> by support from the state. The policy has been in effect since 2014 and applies to all public service providers. </w:t>
      </w:r>
    </w:p>
    <w:p w:rsidR="004F35BA" w:rsidRDefault="00F60166" w:rsidP="004F35BA">
      <w:pPr>
        <w:spacing w:line="480" w:lineRule="auto"/>
        <w:ind w:firstLine="720"/>
      </w:pPr>
      <w:r>
        <w:t xml:space="preserve">The surveillance operations supplied by the tier two Health Protection and Preventive Intervention service standards and their subordinate tier-three service specifications correspond to those offered by the tier three service specifications. </w:t>
      </w:r>
      <w:r w:rsidR="004F35BA">
        <w:t>Tier two Health Protection service standards cover surveillance activities that support regulatory components such as infectious disease prevention and control, environmental or border health, smoke-free environments, psychoactive substances and drug misuse, and the sale, supply, and consumption of alcohol.</w:t>
      </w:r>
    </w:p>
    <w:p w:rsidR="00F60166" w:rsidRDefault="004F35BA" w:rsidP="004F35BA">
      <w:pPr>
        <w:spacing w:line="480" w:lineRule="auto"/>
        <w:ind w:firstLine="720"/>
      </w:pPr>
      <w:r>
        <w:t xml:space="preserve">The Preventive Intervention tier and its subordinate service requirements include the National Immunization Register, surveillance for vaccine-preventable illnesses, and screening </w:t>
      </w:r>
      <w:r>
        <w:lastRenderedPageBreak/>
        <w:t xml:space="preserve">registries. Health assessment and surveillance data or information generated under this standard may be used by health and social sector </w:t>
      </w:r>
      <w:r w:rsidR="003749EE">
        <w:t>providers</w:t>
      </w:r>
      <w:r w:rsidR="005A20A2">
        <w:t xml:space="preserve"> </w:t>
      </w:r>
      <w:r w:rsidR="005A20A2">
        <w:t>(Cole, MacLeod</w:t>
      </w:r>
      <w:r w:rsidR="005A20A2">
        <w:t>,</w:t>
      </w:r>
      <w:r w:rsidR="005A20A2">
        <w:t xml:space="preserve"> and Spriggs, 2019)</w:t>
      </w:r>
      <w:r>
        <w:t>. For example, local governments in local government plans, local alco</w:t>
      </w:r>
      <w:r w:rsidR="00DC2259">
        <w:t>hol plans,</w:t>
      </w:r>
      <w:r>
        <w:t xml:space="preserve"> health professionals, as well as affected communities directly</w:t>
      </w:r>
      <w:r w:rsidR="00DC2259">
        <w:t>.</w:t>
      </w:r>
    </w:p>
    <w:p w:rsidR="005C0667" w:rsidRDefault="001C1DBA" w:rsidP="00D44736">
      <w:pPr>
        <w:spacing w:before="240" w:after="240" w:line="480" w:lineRule="auto"/>
      </w:pPr>
      <w:r>
        <w:rPr>
          <w:b/>
          <w:bCs/>
        </w:rPr>
        <w:t>What level or levels of government is the source of this policy or activity?</w:t>
      </w:r>
    </w:p>
    <w:p w:rsidR="00DC2259" w:rsidRDefault="001C1DBA" w:rsidP="00DC2259">
      <w:pPr>
        <w:spacing w:before="240" w:after="240" w:line="480" w:lineRule="auto"/>
        <w:ind w:firstLine="720"/>
      </w:pPr>
      <w:r>
        <w:t xml:space="preserve">The federal government is the source of the policy. However, it applies at all levels of the government, including local. Regional, national and international level. </w:t>
      </w:r>
      <w:r w:rsidR="00DC2259">
        <w:t xml:space="preserve">The assessment and surveillance of public health </w:t>
      </w:r>
      <w:r w:rsidR="003F19D5">
        <w:t>are</w:t>
      </w:r>
      <w:r w:rsidR="00DC2259">
        <w:t xml:space="preserve"> one of the five primary roles of public health. To provide effective public health services, all public health providers must ensure that </w:t>
      </w:r>
      <w:r w:rsidR="005A20A2">
        <w:t>a thorough understanding of the population’s health requirements, status, and existing and developing population health concerns influences their service planning and delivery</w:t>
      </w:r>
      <w:r w:rsidR="00DC2259">
        <w:t xml:space="preserve">. </w:t>
      </w:r>
    </w:p>
    <w:p w:rsidR="005C0667" w:rsidRDefault="001C1DBA" w:rsidP="005A20A2">
      <w:pPr>
        <w:spacing w:before="240" w:after="240" w:line="480" w:lineRule="auto"/>
      </w:pPr>
      <w:r>
        <w:rPr>
          <w:b/>
          <w:bCs/>
        </w:rPr>
        <w:t>Why does this policy or activity relate to global health?</w:t>
      </w:r>
    </w:p>
    <w:p w:rsidR="003F5AD5" w:rsidRDefault="001C1DBA" w:rsidP="003F5AD5">
      <w:pPr>
        <w:spacing w:before="240" w:after="240" w:line="480" w:lineRule="auto"/>
        <w:ind w:firstLine="720"/>
      </w:pPr>
      <w:r>
        <w:t xml:space="preserve">Population assessment and surveillance's early warning capabilities are critical for national, regional, and global health security. </w:t>
      </w:r>
      <w:r w:rsidR="003F5AD5">
        <w:t>Recent outbreaks of diseases such as SARS and avian influenza, as well as the potential danger posed by biological and chemical weapons, underline the importance of effective national surveillance and response systems.</w:t>
      </w:r>
    </w:p>
    <w:p w:rsidR="005C0667" w:rsidRDefault="003F5AD5" w:rsidP="00D44736">
      <w:pPr>
        <w:spacing w:before="240" w:after="240" w:line="480" w:lineRule="auto"/>
        <w:ind w:firstLine="720"/>
      </w:pPr>
      <w:r>
        <w:t>As part of their commitment to the goal of global security, the International Health Regulations (IHR) 2005 require all Member States to develop and implement efficient monitoring and response systems that can detect and contain national and international public health hazards, thereby reaffirming their commitment to the goal of global security</w:t>
      </w:r>
      <w:r w:rsidR="003749EE">
        <w:t>(Matters, 2020)</w:t>
      </w:r>
      <w:r>
        <w:t xml:space="preserve">. </w:t>
      </w:r>
      <w:r w:rsidR="001C1DBA">
        <w:t xml:space="preserve"> The </w:t>
      </w:r>
      <w:r w:rsidR="005A20A2">
        <w:t>program-monitoring</w:t>
      </w:r>
      <w:r w:rsidR="001C1DBA">
        <w:t xml:space="preserve"> role of infectious disease surveillance covers many objectives, including disease eradi</w:t>
      </w:r>
      <w:r>
        <w:t xml:space="preserve">cation such as measles, </w:t>
      </w:r>
      <w:r w:rsidR="001C1DBA">
        <w:t>and surveillance for acute flaccid paralysis. Surveillance systems also track endemic disease patterns, progress toward disease control goals</w:t>
      </w:r>
      <w:r w:rsidR="003F19D5">
        <w:t>,</w:t>
      </w:r>
      <w:r w:rsidR="001C1DBA">
        <w:t xml:space="preserve"> and offer data that can be used to assess the effectiveness of disease prevention and control programs. </w:t>
      </w:r>
      <w:r w:rsidR="005A20A2">
        <w:t>Thus,</w:t>
      </w:r>
      <w:r w:rsidR="001C1DBA">
        <w:t xml:space="preserve"> Population health assessment and survei</w:t>
      </w:r>
      <w:r>
        <w:t xml:space="preserve">llance </w:t>
      </w:r>
      <w:r w:rsidR="003F19D5">
        <w:t xml:space="preserve">are </w:t>
      </w:r>
      <w:r>
        <w:t>related to global health.</w:t>
      </w:r>
    </w:p>
    <w:p w:rsidR="005C0667" w:rsidRDefault="001C1DBA" w:rsidP="00D44736">
      <w:pPr>
        <w:spacing w:before="240" w:after="240" w:line="480" w:lineRule="auto"/>
      </w:pPr>
      <w:r>
        <w:rPr>
          <w:b/>
          <w:bCs/>
        </w:rPr>
        <w:t>Why do the policy/activity and global health topic you have selected make a good candidate for a HRIA?</w:t>
      </w:r>
    </w:p>
    <w:p w:rsidR="005C0667" w:rsidRDefault="001C1DBA" w:rsidP="00F60166">
      <w:pPr>
        <w:spacing w:before="240" w:after="240" w:line="480" w:lineRule="auto"/>
        <w:ind w:firstLine="720"/>
      </w:pPr>
      <w:r>
        <w:t xml:space="preserve">The collection of data on a population's major health issues is known as population health assessment and surveillance protocols. However, data on all possible health concerns are not collected, and the selection of which issues to analyze does not take place in a vacuum. </w:t>
      </w:r>
      <w:r w:rsidR="00F60166">
        <w:t>As a result</w:t>
      </w:r>
      <w:r w:rsidR="003F5AD5">
        <w:t>, a state's failure to address</w:t>
      </w:r>
      <w:r w:rsidR="00F60166">
        <w:t xml:space="preserve"> health concerns that disproportionately affect a marginalized or stigmatized group may be a breach of the right to nondiscrimination by causing the neglect of critical treatment. As a result, other rights, such as the right to security in the event of illness or disability, or the right to particular care and support, may be jeopardized. After judgments have been made about which problems to investigate, the data collection process may impose further human rights requirements. Collecting information from someone about their health, such as if they are H</w:t>
      </w:r>
      <w:r w:rsidR="003F5AD5">
        <w:t>IV-positive</w:t>
      </w:r>
      <w:r w:rsidR="00F60166">
        <w:t xml:space="preserve"> or are genetically susceptible to heart disease, can infringe on their right to </w:t>
      </w:r>
      <w:r w:rsidR="003749EE">
        <w:t>privacy (Kolasa et al., 2019)</w:t>
      </w:r>
      <w:r w:rsidR="003F5AD5">
        <w:t xml:space="preserve">. The concept of informed consent </w:t>
      </w:r>
      <w:r>
        <w:t>and arbitrary invasio</w:t>
      </w:r>
      <w:r w:rsidR="003F5AD5">
        <w:t xml:space="preserve">n of privacy </w:t>
      </w:r>
      <w:r w:rsidR="003749EE">
        <w:t xml:space="preserve">and rights violation </w:t>
      </w:r>
      <w:r w:rsidR="003F5AD5">
        <w:t>makes</w:t>
      </w:r>
      <w:r>
        <w:t xml:space="preserve"> </w:t>
      </w:r>
      <w:r w:rsidR="003F5AD5">
        <w:t>the policy</w:t>
      </w:r>
      <w:r>
        <w:t xml:space="preserve"> </w:t>
      </w:r>
      <w:r w:rsidR="003F19D5">
        <w:t xml:space="preserve">a </w:t>
      </w:r>
      <w:r>
        <w:t>good candidate for HRIA.</w:t>
      </w:r>
    </w:p>
    <w:p w:rsidR="005C0667" w:rsidRDefault="001C1DBA" w:rsidP="00F60166">
      <w:pPr>
        <w:spacing w:before="240" w:after="240" w:line="480" w:lineRule="auto"/>
        <w:ind w:firstLine="720"/>
      </w:pPr>
      <w:r>
        <w:t xml:space="preserve">Furthermore, even a seemingly innocuous information-gathering activity can jeopardize the right to non-discrimination. </w:t>
      </w:r>
      <w:r w:rsidR="00F60166">
        <w:t>A telephone health survey, for example, that excludes residences without telephones</w:t>
      </w:r>
      <w:r w:rsidR="003F5AD5">
        <w:t xml:space="preserve"> </w:t>
      </w:r>
      <w:r w:rsidR="00F60166">
        <w:t>could result in a skewed evaluation,</w:t>
      </w:r>
      <w:r w:rsidR="003F5AD5">
        <w:t xml:space="preserve"> leading to activities or polic</w:t>
      </w:r>
      <w:r w:rsidR="003F19D5">
        <w:t>i</w:t>
      </w:r>
      <w:r w:rsidR="003F5AD5">
        <w:t>es</w:t>
      </w:r>
      <w:r w:rsidR="003749EE">
        <w:t xml:space="preserve"> that fail to</w:t>
      </w:r>
      <w:r w:rsidR="00EE11D4">
        <w:t xml:space="preserve"> acknowledge</w:t>
      </w:r>
      <w:r w:rsidR="00F60166">
        <w:t xml:space="preserve"> or meet the</w:t>
      </w:r>
      <w:r w:rsidR="003F5AD5">
        <w:t xml:space="preserve"> needs of the people i</w:t>
      </w:r>
      <w:r w:rsidR="003F19D5">
        <w:t>n</w:t>
      </w:r>
      <w:r w:rsidR="003F5AD5">
        <w:t xml:space="preserve"> a community</w:t>
      </w:r>
      <w:r w:rsidR="00F60166">
        <w:t>. Moreover</w:t>
      </w:r>
      <w:r w:rsidR="00EE11D4">
        <w:t>, personal health data</w:t>
      </w:r>
      <w:r w:rsidR="00F60166">
        <w:t>, such as sexual orientation or dru</w:t>
      </w:r>
      <w:r w:rsidR="00EE11D4">
        <w:t xml:space="preserve">g use history, has </w:t>
      </w:r>
      <w:r w:rsidR="003F19D5">
        <w:t>the</w:t>
      </w:r>
      <w:r w:rsidR="00EE11D4">
        <w:t xml:space="preserve"> potential</w:t>
      </w:r>
      <w:r w:rsidR="00F60166">
        <w:t xml:space="preserve"> to be misused by the state, either directly or indirectly, causing substantial harm to individuals or infringing on their human rights. Misuse of HIV infection status information has resulted in restrictions on one's right to work and education, as well as violations of one's right to marry and start a family, as well as attacks on one's honor and reputation,</w:t>
      </w:r>
      <w:r w:rsidR="00EE11D4">
        <w:t xml:space="preserve"> arbitrary detention or exile,</w:t>
      </w:r>
      <w:r w:rsidR="00F60166">
        <w:t xml:space="preserve"> restrictions on one's freedom of movemen</w:t>
      </w:r>
      <w:r w:rsidR="00EE11D4">
        <w:t xml:space="preserve">t and even </w:t>
      </w:r>
      <w:bookmarkStart w:id="0" w:name="_GoBack"/>
      <w:bookmarkEnd w:id="0"/>
      <w:r w:rsidR="00EE11D4">
        <w:t xml:space="preserve">inhuman </w:t>
      </w:r>
      <w:r w:rsidR="00F60166">
        <w:t>treatment. As a result, the policy is a good candidate for HRIA.</w:t>
      </w:r>
    </w:p>
    <w:p w:rsidR="000B5071" w:rsidRDefault="000B5071" w:rsidP="00F60166">
      <w:pPr>
        <w:spacing w:before="240" w:after="240" w:line="480" w:lineRule="auto"/>
        <w:ind w:firstLine="720"/>
      </w:pPr>
    </w:p>
    <w:p w:rsidR="000B5071" w:rsidRDefault="000B5071" w:rsidP="00F60166">
      <w:pPr>
        <w:spacing w:before="240" w:after="240" w:line="480" w:lineRule="auto"/>
        <w:ind w:firstLine="720"/>
      </w:pPr>
    </w:p>
    <w:p w:rsidR="003749EE" w:rsidRDefault="003749EE" w:rsidP="00F60166">
      <w:pPr>
        <w:spacing w:before="240" w:after="240" w:line="480" w:lineRule="auto"/>
        <w:ind w:firstLine="720"/>
      </w:pPr>
    </w:p>
    <w:p w:rsidR="003749EE" w:rsidRDefault="003749EE" w:rsidP="00F60166">
      <w:pPr>
        <w:spacing w:before="240" w:after="240" w:line="480" w:lineRule="auto"/>
        <w:ind w:firstLine="720"/>
      </w:pPr>
    </w:p>
    <w:p w:rsidR="003749EE" w:rsidRDefault="003749EE" w:rsidP="00F60166">
      <w:pPr>
        <w:spacing w:before="240" w:after="240" w:line="480" w:lineRule="auto"/>
        <w:ind w:firstLine="720"/>
      </w:pPr>
    </w:p>
    <w:p w:rsidR="003749EE" w:rsidRDefault="003749EE" w:rsidP="00F60166">
      <w:pPr>
        <w:spacing w:before="240" w:after="240" w:line="480" w:lineRule="auto"/>
        <w:ind w:firstLine="720"/>
      </w:pPr>
    </w:p>
    <w:p w:rsidR="003749EE" w:rsidRDefault="003749EE" w:rsidP="00F60166">
      <w:pPr>
        <w:spacing w:before="240" w:after="240" w:line="480" w:lineRule="auto"/>
        <w:ind w:firstLine="720"/>
      </w:pPr>
    </w:p>
    <w:p w:rsidR="003749EE" w:rsidRDefault="003749EE" w:rsidP="00F60166">
      <w:pPr>
        <w:spacing w:before="240" w:after="240" w:line="480" w:lineRule="auto"/>
        <w:ind w:firstLine="720"/>
      </w:pPr>
    </w:p>
    <w:p w:rsidR="003749EE" w:rsidRDefault="003749EE" w:rsidP="00F60166">
      <w:pPr>
        <w:spacing w:before="240" w:after="240" w:line="480" w:lineRule="auto"/>
        <w:ind w:firstLine="720"/>
      </w:pPr>
    </w:p>
    <w:p w:rsidR="003749EE" w:rsidRDefault="003749EE" w:rsidP="00F60166">
      <w:pPr>
        <w:spacing w:before="240" w:after="240" w:line="480" w:lineRule="auto"/>
        <w:ind w:firstLine="720"/>
      </w:pPr>
    </w:p>
    <w:p w:rsidR="003749EE" w:rsidRDefault="003749EE" w:rsidP="00F60166">
      <w:pPr>
        <w:spacing w:before="240" w:after="240" w:line="480" w:lineRule="auto"/>
        <w:ind w:firstLine="720"/>
      </w:pPr>
    </w:p>
    <w:p w:rsidR="000B5071" w:rsidRDefault="003749EE" w:rsidP="00F60166">
      <w:pPr>
        <w:spacing w:before="240" w:after="240" w:line="480" w:lineRule="auto"/>
        <w:ind w:firstLine="720"/>
      </w:pPr>
      <w:r>
        <w:t xml:space="preserve">                                             </w:t>
      </w:r>
      <w:r w:rsidR="000B5071">
        <w:t>References</w:t>
      </w:r>
    </w:p>
    <w:p w:rsidR="003749EE" w:rsidRDefault="000B5071" w:rsidP="003749EE">
      <w:pPr>
        <w:spacing w:line="480" w:lineRule="auto"/>
        <w:ind w:left="720" w:hanging="720"/>
      </w:pPr>
      <w:r>
        <w:t xml:space="preserve">Cole, B. L., MacLeod, K. E., &amp; Spriggs, R. (2019). Health impact assessment of transportation projects and policies: living up to aims of advancing population health and health equity?. </w:t>
      </w:r>
      <w:r>
        <w:rPr>
          <w:i/>
          <w:iCs/>
        </w:rPr>
        <w:t>Annual review of public health</w:t>
      </w:r>
      <w:r>
        <w:t xml:space="preserve">, </w:t>
      </w:r>
      <w:r>
        <w:rPr>
          <w:i/>
          <w:iCs/>
        </w:rPr>
        <w:t>40</w:t>
      </w:r>
      <w:r>
        <w:t>, 305-318.</w:t>
      </w:r>
    </w:p>
    <w:p w:rsidR="003749EE" w:rsidRDefault="003749EE" w:rsidP="003749EE">
      <w:pPr>
        <w:spacing w:line="480" w:lineRule="auto"/>
        <w:ind w:left="720" w:hanging="720"/>
      </w:pPr>
      <w:r>
        <w:t xml:space="preserve">Kolasa, K., Mazzi, F., Leszczuk-Czubkowska, E., Zrubka, Z., &amp; Péntek, M. (2021). State of the Art in Adoption of Contact Tracing Apps and Recommendations Regarding Privacy Protection and Public Health: Systematic Review. </w:t>
      </w:r>
      <w:r>
        <w:rPr>
          <w:i/>
          <w:iCs/>
        </w:rPr>
        <w:t>JMIR mHealth and uHealth</w:t>
      </w:r>
      <w:r>
        <w:t xml:space="preserve">, </w:t>
      </w:r>
      <w:r>
        <w:rPr>
          <w:i/>
          <w:iCs/>
        </w:rPr>
        <w:t>9</w:t>
      </w:r>
      <w:r>
        <w:t>(6), e23250.</w:t>
      </w:r>
    </w:p>
    <w:p w:rsidR="003749EE" w:rsidRDefault="003749EE" w:rsidP="003749EE">
      <w:pPr>
        <w:spacing w:line="480" w:lineRule="auto"/>
        <w:ind w:left="720" w:hanging="720"/>
      </w:pPr>
      <w:r>
        <w:t xml:space="preserve">Mathers, C. D. (2020). History of global burden of disease assessment at the World Health Organization. </w:t>
      </w:r>
      <w:r>
        <w:rPr>
          <w:i/>
          <w:iCs/>
        </w:rPr>
        <w:t>Archives of Public Health</w:t>
      </w:r>
      <w:r>
        <w:t xml:space="preserve">, </w:t>
      </w:r>
      <w:r>
        <w:rPr>
          <w:i/>
          <w:iCs/>
        </w:rPr>
        <w:t>78</w:t>
      </w:r>
      <w:r>
        <w:t>(1), 1-13.</w:t>
      </w:r>
    </w:p>
    <w:p w:rsidR="000B5071" w:rsidRDefault="000B5071" w:rsidP="00F60166">
      <w:pPr>
        <w:spacing w:before="240" w:after="240" w:line="480" w:lineRule="auto"/>
        <w:ind w:firstLine="720"/>
      </w:pPr>
    </w:p>
    <w:sectPr w:rsidR="000B5071">
      <w:head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DBA" w:rsidRDefault="001C1DBA" w:rsidP="003749EE">
      <w:r>
        <w:separator/>
      </w:r>
    </w:p>
  </w:endnote>
  <w:endnote w:type="continuationSeparator" w:id="0">
    <w:p w:rsidR="001C1DBA" w:rsidRDefault="001C1DBA" w:rsidP="0037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DBA" w:rsidRDefault="001C1DBA" w:rsidP="003749EE">
      <w:r>
        <w:separator/>
      </w:r>
    </w:p>
  </w:footnote>
  <w:footnote w:type="continuationSeparator" w:id="0">
    <w:p w:rsidR="001C1DBA" w:rsidRDefault="001C1DBA" w:rsidP="00374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779186"/>
      <w:docPartObj>
        <w:docPartGallery w:val="Page Numbers (Top of Page)"/>
        <w:docPartUnique/>
      </w:docPartObj>
    </w:sdtPr>
    <w:sdtEndPr>
      <w:rPr>
        <w:noProof/>
      </w:rPr>
    </w:sdtEndPr>
    <w:sdtContent>
      <w:p w:rsidR="003749EE" w:rsidRDefault="003749EE">
        <w:pPr>
          <w:pStyle w:val="Header"/>
          <w:jc w:val="right"/>
        </w:pPr>
        <w:r>
          <w:fldChar w:fldCharType="begin"/>
        </w:r>
        <w:r>
          <w:instrText xml:space="preserve"> PAGE   \* MERGEFORMAT </w:instrText>
        </w:r>
        <w:r>
          <w:fldChar w:fldCharType="separate"/>
        </w:r>
        <w:r w:rsidR="003F19D5">
          <w:rPr>
            <w:noProof/>
          </w:rPr>
          <w:t>4</w:t>
        </w:r>
        <w:r>
          <w:rPr>
            <w:noProof/>
          </w:rPr>
          <w:fldChar w:fldCharType="end"/>
        </w:r>
      </w:p>
    </w:sdtContent>
  </w:sdt>
  <w:p w:rsidR="003749EE" w:rsidRDefault="00374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xMzU1s7A0NDazMDJQ0lEKTi0uzszPAykwrAUAsTFcPCwAAAA="/>
  </w:docVars>
  <w:rsids>
    <w:rsidRoot w:val="005C0667"/>
    <w:rsid w:val="000B5071"/>
    <w:rsid w:val="001C1DBA"/>
    <w:rsid w:val="003749EE"/>
    <w:rsid w:val="003F19D5"/>
    <w:rsid w:val="003F5AD5"/>
    <w:rsid w:val="004F35BA"/>
    <w:rsid w:val="005A20A2"/>
    <w:rsid w:val="005C0667"/>
    <w:rsid w:val="00D44736"/>
    <w:rsid w:val="00DC2259"/>
    <w:rsid w:val="00EE11D4"/>
    <w:rsid w:val="00F6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558D"/>
  <w15:docId w15:val="{CBBA7FB7-F92F-49BC-9111-F8E197D9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3749EE"/>
    <w:pPr>
      <w:tabs>
        <w:tab w:val="center" w:pos="4680"/>
        <w:tab w:val="right" w:pos="9360"/>
      </w:tabs>
    </w:pPr>
  </w:style>
  <w:style w:type="character" w:customStyle="1" w:styleId="HeaderChar">
    <w:name w:val="Header Char"/>
    <w:basedOn w:val="DefaultParagraphFont"/>
    <w:link w:val="Header"/>
    <w:uiPriority w:val="99"/>
    <w:rsid w:val="003749EE"/>
    <w:rPr>
      <w:sz w:val="24"/>
      <w:szCs w:val="24"/>
    </w:rPr>
  </w:style>
  <w:style w:type="paragraph" w:styleId="Footer">
    <w:name w:val="footer"/>
    <w:basedOn w:val="Normal"/>
    <w:link w:val="FooterChar"/>
    <w:uiPriority w:val="99"/>
    <w:unhideWhenUsed/>
    <w:rsid w:val="003749EE"/>
    <w:pPr>
      <w:tabs>
        <w:tab w:val="center" w:pos="4680"/>
        <w:tab w:val="right" w:pos="9360"/>
      </w:tabs>
    </w:pPr>
  </w:style>
  <w:style w:type="character" w:customStyle="1" w:styleId="FooterChar">
    <w:name w:val="Footer Char"/>
    <w:basedOn w:val="DefaultParagraphFont"/>
    <w:link w:val="Footer"/>
    <w:uiPriority w:val="99"/>
    <w:rsid w:val="003749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70121">
      <w:bodyDiv w:val="1"/>
      <w:marLeft w:val="0"/>
      <w:marRight w:val="0"/>
      <w:marTop w:val="0"/>
      <w:marBottom w:val="0"/>
      <w:divBdr>
        <w:top w:val="none" w:sz="0" w:space="0" w:color="auto"/>
        <w:left w:val="none" w:sz="0" w:space="0" w:color="auto"/>
        <w:bottom w:val="none" w:sz="0" w:space="0" w:color="auto"/>
        <w:right w:val="none" w:sz="0" w:space="0" w:color="auto"/>
      </w:divBdr>
      <w:divsChild>
        <w:div w:id="1100953081">
          <w:marLeft w:val="0"/>
          <w:marRight w:val="0"/>
          <w:marTop w:val="0"/>
          <w:marBottom w:val="0"/>
          <w:divBdr>
            <w:top w:val="none" w:sz="0" w:space="0" w:color="auto"/>
            <w:left w:val="none" w:sz="0" w:space="0" w:color="auto"/>
            <w:bottom w:val="none" w:sz="0" w:space="0" w:color="auto"/>
            <w:right w:val="none" w:sz="0" w:space="0" w:color="auto"/>
          </w:divBdr>
        </w:div>
      </w:divsChild>
    </w:div>
    <w:div w:id="703754016">
      <w:bodyDiv w:val="1"/>
      <w:marLeft w:val="0"/>
      <w:marRight w:val="0"/>
      <w:marTop w:val="0"/>
      <w:marBottom w:val="0"/>
      <w:divBdr>
        <w:top w:val="none" w:sz="0" w:space="0" w:color="auto"/>
        <w:left w:val="none" w:sz="0" w:space="0" w:color="auto"/>
        <w:bottom w:val="none" w:sz="0" w:space="0" w:color="auto"/>
        <w:right w:val="none" w:sz="0" w:space="0" w:color="auto"/>
      </w:divBdr>
      <w:divsChild>
        <w:div w:id="407462062">
          <w:marLeft w:val="0"/>
          <w:marRight w:val="0"/>
          <w:marTop w:val="0"/>
          <w:marBottom w:val="0"/>
          <w:divBdr>
            <w:top w:val="none" w:sz="0" w:space="0" w:color="auto"/>
            <w:left w:val="none" w:sz="0" w:space="0" w:color="auto"/>
            <w:bottom w:val="none" w:sz="0" w:space="0" w:color="auto"/>
            <w:right w:val="none" w:sz="0" w:space="0" w:color="auto"/>
          </w:divBdr>
        </w:div>
      </w:divsChild>
    </w:div>
    <w:div w:id="1082292502">
      <w:bodyDiv w:val="1"/>
      <w:marLeft w:val="0"/>
      <w:marRight w:val="0"/>
      <w:marTop w:val="0"/>
      <w:marBottom w:val="0"/>
      <w:divBdr>
        <w:top w:val="none" w:sz="0" w:space="0" w:color="auto"/>
        <w:left w:val="none" w:sz="0" w:space="0" w:color="auto"/>
        <w:bottom w:val="none" w:sz="0" w:space="0" w:color="auto"/>
        <w:right w:val="none" w:sz="0" w:space="0" w:color="auto"/>
      </w:divBdr>
      <w:divsChild>
        <w:div w:id="311102626">
          <w:marLeft w:val="0"/>
          <w:marRight w:val="0"/>
          <w:marTop w:val="0"/>
          <w:marBottom w:val="0"/>
          <w:divBdr>
            <w:top w:val="none" w:sz="0" w:space="0" w:color="auto"/>
            <w:left w:val="none" w:sz="0" w:space="0" w:color="auto"/>
            <w:bottom w:val="none" w:sz="0" w:space="0" w:color="auto"/>
            <w:right w:val="none" w:sz="0" w:space="0" w:color="auto"/>
          </w:divBdr>
        </w:div>
      </w:divsChild>
    </w:div>
    <w:div w:id="1597665400">
      <w:bodyDiv w:val="1"/>
      <w:marLeft w:val="0"/>
      <w:marRight w:val="0"/>
      <w:marTop w:val="0"/>
      <w:marBottom w:val="0"/>
      <w:divBdr>
        <w:top w:val="none" w:sz="0" w:space="0" w:color="auto"/>
        <w:left w:val="none" w:sz="0" w:space="0" w:color="auto"/>
        <w:bottom w:val="none" w:sz="0" w:space="0" w:color="auto"/>
        <w:right w:val="none" w:sz="0" w:space="0" w:color="auto"/>
      </w:divBdr>
      <w:divsChild>
        <w:div w:id="1090564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2</cp:revision>
  <dcterms:created xsi:type="dcterms:W3CDTF">2021-09-18T19:36:00Z</dcterms:created>
  <dcterms:modified xsi:type="dcterms:W3CDTF">2021-09-18T19:36:00Z</dcterms:modified>
</cp:coreProperties>
</file>